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A32407" w:rsidTr="00A22D7C">
        <w:trPr>
          <w:trHeight w:val="150"/>
        </w:trPr>
        <w:tc>
          <w:tcPr>
            <w:tcW w:w="2091" w:type="dxa"/>
          </w:tcPr>
          <w:p w:rsidR="00A32407" w:rsidRDefault="00BB5CF9" w:rsidP="00BB5CF9">
            <w:r>
              <w:t>1</w:t>
            </w:r>
            <w:r w:rsidR="00A32407" w:rsidRPr="00016108">
              <w:t xml:space="preserve">. </w:t>
            </w:r>
            <w:r w:rsidR="00AA40B8">
              <w:t>Environmental Scan: Bullying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1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30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In Progress</w:t>
            </w:r>
          </w:p>
        </w:tc>
        <w:tc>
          <w:tcPr>
            <w:tcW w:w="2093" w:type="dxa"/>
          </w:tcPr>
          <w:p w:rsidR="00A32407" w:rsidRDefault="00D8616E" w:rsidP="00A32407">
            <w:r>
              <w:t>ON</w:t>
            </w:r>
          </w:p>
        </w:tc>
        <w:tc>
          <w:tcPr>
            <w:tcW w:w="2093" w:type="dxa"/>
          </w:tcPr>
          <w:p w:rsidR="00A32407" w:rsidRDefault="00BB5CF9" w:rsidP="00A32407">
            <w:r>
              <w:t>Update: As of July 6 only 2 PTs have responded</w:t>
            </w:r>
          </w:p>
        </w:tc>
      </w:tr>
      <w:tr w:rsidR="00A32407" w:rsidTr="00A32407">
        <w:trPr>
          <w:trHeight w:val="620"/>
        </w:trPr>
        <w:tc>
          <w:tcPr>
            <w:tcW w:w="2091" w:type="dxa"/>
          </w:tcPr>
          <w:p w:rsidR="00A32407" w:rsidRDefault="00BB5CF9" w:rsidP="00BB5CF9">
            <w:r>
              <w:t>2</w:t>
            </w:r>
            <w:r w:rsidR="00A32407">
              <w:t xml:space="preserve">. </w:t>
            </w:r>
            <w:r w:rsidR="00AA40B8">
              <w:t>Issue Statement</w:t>
            </w:r>
            <w:r>
              <w:t>s</w:t>
            </w:r>
            <w:r w:rsidR="00AA40B8">
              <w:t>: Post-Covid supports for students with PMCs</w:t>
            </w:r>
            <w:r>
              <w:t>;</w:t>
            </w:r>
          </w:p>
          <w:p w:rsidR="00BB5CF9" w:rsidRDefault="00BB5CF9" w:rsidP="00BB5CF9">
            <w:r>
              <w:t>Masks in Schools</w:t>
            </w:r>
          </w:p>
        </w:tc>
        <w:tc>
          <w:tcPr>
            <w:tcW w:w="2091" w:type="dxa"/>
          </w:tcPr>
          <w:p w:rsidR="00A32407" w:rsidRDefault="00F23735" w:rsidP="00A32407">
            <w:r>
              <w:t>May 13 2020</w:t>
            </w:r>
          </w:p>
        </w:tc>
        <w:tc>
          <w:tcPr>
            <w:tcW w:w="2091" w:type="dxa"/>
          </w:tcPr>
          <w:p w:rsidR="00A32407" w:rsidRPr="00016108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Default="00F23735" w:rsidP="00A32407">
            <w:r>
              <w:t>Complete</w:t>
            </w:r>
          </w:p>
        </w:tc>
        <w:tc>
          <w:tcPr>
            <w:tcW w:w="2093" w:type="dxa"/>
          </w:tcPr>
          <w:p w:rsidR="00A32407" w:rsidRDefault="00F23735" w:rsidP="00A32407">
            <w:r>
              <w:t>ON</w:t>
            </w:r>
          </w:p>
        </w:tc>
        <w:tc>
          <w:tcPr>
            <w:tcW w:w="2093" w:type="dxa"/>
          </w:tcPr>
          <w:p w:rsidR="00A32407" w:rsidRPr="00016108" w:rsidRDefault="00BB5CF9" w:rsidP="00A32407">
            <w:r>
              <w:t>Update: These will be rolled up into Table of Return to School Responses</w:t>
            </w:r>
          </w:p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3</w:t>
            </w:r>
            <w:r w:rsidR="00617F70">
              <w:t xml:space="preserve">. Food Distribution Guidelines YT 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Ian</w:t>
            </w:r>
          </w:p>
        </w:tc>
        <w:tc>
          <w:tcPr>
            <w:tcW w:w="2093" w:type="dxa"/>
          </w:tcPr>
          <w:p w:rsidR="00617F70" w:rsidRPr="00277DF1" w:rsidRDefault="00617F70" w:rsidP="00A32407"/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4</w:t>
            </w:r>
            <w:r w:rsidR="00617F70">
              <w:t>. FPTGN Food Distribution Template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Pat</w:t>
            </w:r>
          </w:p>
        </w:tc>
        <w:tc>
          <w:tcPr>
            <w:tcW w:w="2093" w:type="dxa"/>
          </w:tcPr>
          <w:p w:rsidR="00617F70" w:rsidRPr="00277DF1" w:rsidRDefault="00617F70" w:rsidP="00A32407"/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A32407" w:rsidTr="00A22D7C">
        <w:trPr>
          <w:trHeight w:val="142"/>
        </w:trPr>
        <w:tc>
          <w:tcPr>
            <w:tcW w:w="2091" w:type="dxa"/>
          </w:tcPr>
          <w:p w:rsidR="00A32407" w:rsidRPr="00086C99" w:rsidRDefault="00A32407" w:rsidP="00617F70">
            <w:r>
              <w:t xml:space="preserve">1. </w:t>
            </w:r>
            <w:r w:rsidR="00617F70">
              <w:t>Issue Statement</w:t>
            </w:r>
            <w:r w:rsidR="00BB5CF9">
              <w:t>s</w:t>
            </w:r>
            <w:r w:rsidR="00617F70">
              <w:t xml:space="preserve"> Compiled: Post-Covid supports for Students with PMCs</w:t>
            </w:r>
            <w:r w:rsidR="00BB5CF9">
              <w:t>; Masks in Schools; Canada’s and International Education Reponses to COVID-19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In Progress</w:t>
            </w:r>
          </w:p>
        </w:tc>
        <w:tc>
          <w:tcPr>
            <w:tcW w:w="2093" w:type="dxa"/>
          </w:tcPr>
          <w:p w:rsidR="00A32407" w:rsidRPr="00086C99" w:rsidRDefault="00A32407" w:rsidP="00A32407">
            <w:r>
              <w:t>Susan</w:t>
            </w:r>
          </w:p>
        </w:tc>
        <w:tc>
          <w:tcPr>
            <w:tcW w:w="2093" w:type="dxa"/>
          </w:tcPr>
          <w:p w:rsidR="00A32407" w:rsidRPr="00086C99" w:rsidRDefault="00F23735" w:rsidP="00A32407">
            <w:r>
              <w:t xml:space="preserve">Coordination with other </w:t>
            </w:r>
            <w:r w:rsidR="00BB5CF9">
              <w:t>Return to School Enviro Scans / Issue Statements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BB5CF9" w:rsidP="00A32407">
            <w:r>
              <w:t>2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BB5CF9" w:rsidP="00A32407">
            <w:r>
              <w:t>On Hold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A32407" w:rsidRPr="007D206E" w:rsidRDefault="00BB5CF9" w:rsidP="00A32407">
            <w:r>
              <w:t>Update: Budget Decisions Required first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BB5CF9" w:rsidP="00F23735">
            <w:r>
              <w:t>3</w:t>
            </w:r>
            <w:r w:rsidR="00F23735">
              <w:t>. CMEC, Health priorities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F23735">
            <w:r>
              <w:lastRenderedPageBreak/>
              <w:t>4.  Joint SHCC-MC Meeting:</w:t>
            </w:r>
          </w:p>
          <w:p w:rsidR="00AE348E" w:rsidRDefault="00AE348E" w:rsidP="00F23735">
            <w:r w:rsidRPr="00AE348E">
              <w:rPr>
                <w:rFonts w:ascii="Calibri" w:eastAsia="Calibri" w:hAnsi="Calibri" w:cs="Times New Roman"/>
              </w:rPr>
              <w:t xml:space="preserve"> </w:t>
            </w:r>
            <w:r w:rsidRPr="00AE348E">
              <w:rPr>
                <w:rFonts w:ascii="Calibri" w:eastAsia="Calibri" w:hAnsi="Calibri" w:cs="Times New Roman"/>
              </w:rPr>
              <w:t>Susan will discuss with John Cummings the suggestion from School Health Coordinators’ Committee of a joint meeting with Management Committee.</w:t>
            </w:r>
            <w:r>
              <w:t xml:space="preserve"> 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E348E">
            <w:r>
              <w:t>Complete. Further follow-up</w:t>
            </w:r>
            <w:bookmarkStart w:id="0" w:name="_GoBack"/>
            <w:bookmarkEnd w:id="0"/>
            <w:r>
              <w:t xml:space="preserve"> required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Pr="007D206E" w:rsidRDefault="00AE348E" w:rsidP="00A32407">
            <w:r>
              <w:t>Update: John is asking the purpose, anticipated outcome(s) of this meeting</w:t>
            </w:r>
          </w:p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AE348E">
            <w:r>
              <w:t xml:space="preserve">5. December 2019 Summary Report: </w:t>
            </w:r>
            <w:r w:rsidRPr="00AE348E">
              <w:t xml:space="preserve">Secretariat will follow up with Carol Gabanna </w:t>
            </w:r>
            <w:r>
              <w:t>(consultant for Dec 2019 f2f meeting)</w:t>
            </w:r>
            <w:r w:rsidRPr="00AE348E">
              <w:t xml:space="preserve"> to determine if a summary document was completed.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Complete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Default="00AE348E" w:rsidP="00A32407">
            <w:r>
              <w:t>Update: Carol advised her contract did not include final report; she provided flipchart notes.</w:t>
            </w:r>
          </w:p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AE348E">
            <w:r>
              <w:t xml:space="preserve">6. HBSC CBN: </w:t>
            </w:r>
            <w:r>
              <w:rPr>
                <w:rFonts w:ascii="Calibri" w:eastAsia="Calibri" w:hAnsi="Calibri" w:cs="Calibri"/>
              </w:rPr>
              <w:t>D</w:t>
            </w:r>
            <w:r w:rsidRPr="00AE348E">
              <w:rPr>
                <w:rFonts w:ascii="Calibri" w:eastAsia="Calibri" w:hAnsi="Calibri" w:cs="Calibri"/>
              </w:rPr>
              <w:t>evelop a Common Briefing Note that jurisdictions can use as a summary document highlighting the HBSC report release and other communications pieces.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32407">
            <w:r>
              <w:t xml:space="preserve">Complete 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Susan/Suzy</w:t>
            </w:r>
          </w:p>
        </w:tc>
        <w:tc>
          <w:tcPr>
            <w:tcW w:w="2093" w:type="dxa"/>
          </w:tcPr>
          <w:p w:rsidR="00AE348E" w:rsidRDefault="00AE348E" w:rsidP="00A32407">
            <w:r>
              <w:t>Update: HBSC CBN shared with SHCC and MC June 15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lastRenderedPageBreak/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E7" w:rsidRDefault="005511E7" w:rsidP="00016108">
      <w:pPr>
        <w:spacing w:after="0" w:line="240" w:lineRule="auto"/>
      </w:pPr>
      <w:r>
        <w:separator/>
      </w:r>
    </w:p>
  </w:endnote>
  <w:endnote w:type="continuationSeparator" w:id="0">
    <w:p w:rsidR="005511E7" w:rsidRDefault="005511E7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E7" w:rsidRDefault="005511E7" w:rsidP="00016108">
      <w:pPr>
        <w:spacing w:after="0" w:line="240" w:lineRule="auto"/>
      </w:pPr>
      <w:r>
        <w:separator/>
      </w:r>
    </w:p>
  </w:footnote>
  <w:footnote w:type="continuationSeparator" w:id="0">
    <w:p w:rsidR="005511E7" w:rsidRDefault="005511E7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465C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SHCC Action Items Table – </w:t>
                              </w:r>
                              <w:r w:rsidR="00BB5CF9">
                                <w:rPr>
                                  <w:caps/>
                                  <w:color w:val="FFFFFF" w:themeColor="background1"/>
                                </w:rPr>
                                <w:t>July 14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465C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SHCC Action Items Table – </w:t>
                        </w:r>
                        <w:r w:rsidR="00BB5CF9">
                          <w:rPr>
                            <w:caps/>
                            <w:color w:val="FFFFFF" w:themeColor="background1"/>
                          </w:rPr>
                          <w:t>July 14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4C2F"/>
    <w:rsid w:val="00364B15"/>
    <w:rsid w:val="00394CAB"/>
    <w:rsid w:val="003F0C35"/>
    <w:rsid w:val="004014D0"/>
    <w:rsid w:val="00404148"/>
    <w:rsid w:val="00457379"/>
    <w:rsid w:val="00457605"/>
    <w:rsid w:val="00465C60"/>
    <w:rsid w:val="004746A3"/>
    <w:rsid w:val="004B3292"/>
    <w:rsid w:val="004C01CD"/>
    <w:rsid w:val="004C0CD3"/>
    <w:rsid w:val="005511E7"/>
    <w:rsid w:val="00552818"/>
    <w:rsid w:val="00567647"/>
    <w:rsid w:val="005F6105"/>
    <w:rsid w:val="00617F70"/>
    <w:rsid w:val="00663A91"/>
    <w:rsid w:val="006657A0"/>
    <w:rsid w:val="006B4F84"/>
    <w:rsid w:val="006F674C"/>
    <w:rsid w:val="00742F31"/>
    <w:rsid w:val="007B5483"/>
    <w:rsid w:val="007E2DC0"/>
    <w:rsid w:val="007E2DFB"/>
    <w:rsid w:val="007F51B7"/>
    <w:rsid w:val="008314E3"/>
    <w:rsid w:val="00873554"/>
    <w:rsid w:val="00912C5D"/>
    <w:rsid w:val="00915278"/>
    <w:rsid w:val="009176D0"/>
    <w:rsid w:val="009648BC"/>
    <w:rsid w:val="009C4EE6"/>
    <w:rsid w:val="009F1019"/>
    <w:rsid w:val="00A21E02"/>
    <w:rsid w:val="00A22D7C"/>
    <w:rsid w:val="00A32407"/>
    <w:rsid w:val="00A9281C"/>
    <w:rsid w:val="00AA40B8"/>
    <w:rsid w:val="00AB3E24"/>
    <w:rsid w:val="00AE22C6"/>
    <w:rsid w:val="00AE348E"/>
    <w:rsid w:val="00BB1154"/>
    <w:rsid w:val="00BB5CF9"/>
    <w:rsid w:val="00BE60EF"/>
    <w:rsid w:val="00C36E1D"/>
    <w:rsid w:val="00C770F5"/>
    <w:rsid w:val="00D10D11"/>
    <w:rsid w:val="00D22D44"/>
    <w:rsid w:val="00D75214"/>
    <w:rsid w:val="00D831A0"/>
    <w:rsid w:val="00D8616E"/>
    <w:rsid w:val="00DE6F7B"/>
    <w:rsid w:val="00E32931"/>
    <w:rsid w:val="00E33056"/>
    <w:rsid w:val="00E54FF0"/>
    <w:rsid w:val="00EC7B11"/>
    <w:rsid w:val="00F20837"/>
    <w:rsid w:val="00F23735"/>
    <w:rsid w:val="00F42E1A"/>
    <w:rsid w:val="00FA51C9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November 12 2019</vt:lpstr>
    </vt:vector>
  </TitlesOfParts>
  <Company>Province of Prince Edward Island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November 12 2019</dc:title>
  <dc:subject/>
  <dc:creator>Susan Hornby</dc:creator>
  <cp:keywords/>
  <dc:description/>
  <cp:lastModifiedBy>Susan Hornby</cp:lastModifiedBy>
  <cp:revision>4</cp:revision>
  <dcterms:created xsi:type="dcterms:W3CDTF">2020-07-06T15:11:00Z</dcterms:created>
  <dcterms:modified xsi:type="dcterms:W3CDTF">2020-07-06T16:31:00Z</dcterms:modified>
</cp:coreProperties>
</file>